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3AED" w14:textId="32C54E06" w:rsidR="00B918E5" w:rsidRPr="008618C7" w:rsidRDefault="00B918E5" w:rsidP="00B918E5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</w:p>
    <w:p w14:paraId="57F15E1A" w14:textId="77777777" w:rsidR="00B918E5" w:rsidRPr="008618C7" w:rsidRDefault="00B918E5" w:rsidP="00B918E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Department of XXXXXXXXXXX, </w:t>
      </w:r>
      <w:proofErr w:type="spellStart"/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Università</w:t>
      </w:r>
      <w:proofErr w:type="spellEnd"/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di XXXXXXXXX, Italy</w:t>
      </w:r>
      <w:r w:rsidRPr="00861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</w:t>
      </w:r>
      <w:proofErr w:type="spellStart"/>
      <w:r w:rsidRPr="00861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Communicated</w:t>
      </w:r>
      <w:proofErr w:type="spellEnd"/>
      <w:r w:rsidRPr="00861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by</w:t>
      </w:r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61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Professor</w:t>
      </w:r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/Dr XXXX, </w:t>
      </w:r>
      <w:proofErr w:type="gramStart"/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email </w:t>
      </w:r>
      <w:r w:rsidRPr="00861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&lt;</w:t>
      </w:r>
      <w:proofErr w:type="spellStart"/>
      <w:proofErr w:type="gramEnd"/>
      <w:r w:rsidRPr="00580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xxxxxxxxxxxxxxx</w:t>
      </w:r>
      <w:proofErr w:type="spellEnd"/>
      <w:r w:rsidRPr="00861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&gt; </w:t>
      </w:r>
    </w:p>
    <w:p w14:paraId="61B3FAA3" w14:textId="77777777" w:rsidR="00B918E5" w:rsidRPr="006D49BA" w:rsidRDefault="00B918E5" w:rsidP="00B918E5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" w:eastAsia="Times New Roman" w:hAnsi="TimesNewRoman" w:cs="TimesNewRoman"/>
          <w:b/>
          <w:color w:val="000000"/>
          <w:sz w:val="2"/>
          <w:szCs w:val="2"/>
          <w:lang w:val="x-none"/>
        </w:rPr>
      </w:pPr>
    </w:p>
    <w:p w14:paraId="50A32E55" w14:textId="77777777" w:rsidR="00B918E5" w:rsidRPr="006D49BA" w:rsidRDefault="00B918E5" w:rsidP="00B918E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" w:eastAsia="Times New Roman" w:hAnsi="TimesNewRoman" w:cs="TimesNewRoman"/>
          <w:b/>
          <w:color w:val="000000"/>
          <w:sz w:val="23"/>
          <w:szCs w:val="24"/>
          <w:lang w:val="x-none"/>
        </w:rPr>
      </w:pPr>
    </w:p>
    <w:p w14:paraId="1F355B08" w14:textId="77777777" w:rsidR="00B918E5" w:rsidRDefault="00B918E5" w:rsidP="00B918E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</w:pPr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1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Sha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SP,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Suryavanshi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MS,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Tamang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JP. 2019.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Mycobiome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diversity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in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traditionally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prepared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starters for</w:t>
      </w:r>
      <w:r w:rsidRPr="00CE0CDE">
        <w:rPr>
          <w:rFonts w:ascii="TimesNewRoman" w:eastAsia="Times New Roman" w:hAnsi="TimesNewRoman" w:cs="TimesNewRoman"/>
          <w:color w:val="000000"/>
          <w:sz w:val="23"/>
          <w:szCs w:val="24"/>
          <w:lang w:val="en-US"/>
        </w:rPr>
        <w:t xml:space="preserve">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alcoholic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beverages in India by high</w:t>
      </w:r>
      <w:r w:rsidRPr="008618C7">
        <w:rPr>
          <w:rFonts w:ascii="TimesNewRoman" w:eastAsia="Times New Roman" w:hAnsi="TimesNewRoman" w:cs="TimesNewRoman"/>
          <w:color w:val="000000"/>
          <w:sz w:val="23"/>
          <w:szCs w:val="24"/>
          <w:lang w:val="en-US"/>
        </w:rPr>
        <w:t xml:space="preserve"> </w:t>
      </w:r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throughput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sequencing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method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.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Frontiers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in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Microbiology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 xml:space="preserve"> 10:348.</w:t>
      </w:r>
      <w:r w:rsidRPr="008618C7">
        <w:rPr>
          <w:rFonts w:ascii="TimesNewRoman" w:eastAsia="Times New Roman" w:hAnsi="TimesNewRoman" w:cs="TimesNewRoman"/>
          <w:color w:val="000000"/>
          <w:sz w:val="23"/>
          <w:szCs w:val="24"/>
          <w:lang w:val="en-US"/>
        </w:rPr>
        <w:t xml:space="preserve"> </w:t>
      </w:r>
      <w:proofErr w:type="spellStart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doi</w:t>
      </w:r>
      <w:proofErr w:type="spellEnd"/>
      <w:r>
        <w:rPr>
          <w:rFonts w:ascii="TimesNewRoman" w:eastAsia="Times New Roman" w:hAnsi="TimesNewRoman" w:cs="TimesNewRoman"/>
          <w:color w:val="000000"/>
          <w:sz w:val="23"/>
          <w:szCs w:val="24"/>
          <w:lang w:val="x-none"/>
        </w:rPr>
        <w:t>: 10.3389/fmicb.2019.003482237.</w:t>
      </w:r>
    </w:p>
    <w:p w14:paraId="5CF207D0" w14:textId="77777777" w:rsidR="00B918E5" w:rsidRDefault="00B918E5" w:rsidP="00B918E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sz w:val="21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918E5" w:rsidRPr="00A1559C" w14:paraId="4767067A" w14:textId="77777777" w:rsidTr="005E67D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A275" w14:textId="77777777" w:rsidR="00B918E5" w:rsidRPr="006D49BA" w:rsidRDefault="00B918E5" w:rsidP="005E67D1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203"/>
              <w:jc w:val="both"/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</w:pP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Chowan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dawdim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humao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hamei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khekhrii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and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phut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are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sun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ab/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dried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starters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used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for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preparation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of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alcoholic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beverages in North East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regions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of India.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attempted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to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profile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the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mycobiome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community in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these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starters by high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ab/>
              <w:t xml:space="preserve">throughput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sequencing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(HTS)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method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.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All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fungal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populations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found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to be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restricted to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Ascomycota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(67-99%),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Zygomycota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(0.7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>-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29%),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Basidiomycota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(0.03-7%) and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Chytridiomycota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(0.0003%).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found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45 core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operational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taxonomic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units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OTUs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)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which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universally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present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and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further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weighed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to 41 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genera 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level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and 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22 </w:t>
            </w:r>
          </w:p>
          <w:p w14:paraId="67BF51EC" w14:textId="77777777" w:rsidR="00B918E5" w:rsidRPr="006D49BA" w:rsidRDefault="00B918E5" w:rsidP="005E67D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6A865" w14:textId="77777777" w:rsidR="00B918E5" w:rsidRPr="00CE0CDE" w:rsidRDefault="00B918E5" w:rsidP="005E67D1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48"/>
              <w:jc w:val="both"/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</w:pP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level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taxonomy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. Total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number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of 594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fungal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detected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by HTS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including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common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(224),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unique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(133) and rare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ab/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(237) in samples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of starters.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Unique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recorded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in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phut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(40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),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khekhrii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(28),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hamei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(23),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dawdim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(21),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chowan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(13) and </w:t>
            </w:r>
            <w:proofErr w:type="spellStart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>humao</w:t>
            </w:r>
            <w:proofErr w:type="spellEnd"/>
            <w:r w:rsidRPr="006D49BA">
              <w:rPr>
                <w:rFonts w:ascii="TimesNewRoman" w:eastAsia="Times New Roman" w:hAnsi="TimesNewRoman" w:cs="TimesNewRoman"/>
                <w:i/>
                <w:color w:val="000000"/>
                <w:sz w:val="21"/>
                <w:szCs w:val="24"/>
                <w:lang w:val="x-none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(8),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respectively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.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Most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of the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fungal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families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found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to correlate to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type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of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nutritional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mode and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growth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morphologies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of the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community,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where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saprotrophic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mode of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mold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more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dominant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,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whereas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morphotypes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were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more</w:t>
            </w:r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dominant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in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yeast</w:t>
            </w:r>
            <w:proofErr w:type="spellEnd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 xml:space="preserve"> </w:t>
            </w:r>
            <w:proofErr w:type="spellStart"/>
            <w:r w:rsidRPr="006D49BA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x-none"/>
              </w:rPr>
              <w:t>species</w:t>
            </w:r>
            <w:proofErr w:type="spellEnd"/>
            <w:r w:rsidRPr="00CE0CDE">
              <w:rPr>
                <w:rFonts w:ascii="TimesNewRoman" w:eastAsia="Times New Roman" w:hAnsi="TimesNewRoman" w:cs="TimesNewRoman"/>
                <w:color w:val="000000"/>
                <w:sz w:val="21"/>
                <w:szCs w:val="24"/>
                <w:lang w:val="en-US"/>
              </w:rPr>
              <w:t>.</w:t>
            </w:r>
          </w:p>
        </w:tc>
      </w:tr>
    </w:tbl>
    <w:p w14:paraId="567063B7" w14:textId="77777777" w:rsidR="00B918E5" w:rsidRPr="00A1559C" w:rsidRDefault="00B918E5" w:rsidP="00B918E5">
      <w:pPr>
        <w:rPr>
          <w:lang w:val="en-US"/>
        </w:rPr>
      </w:pPr>
    </w:p>
    <w:p w14:paraId="517F7FA2" w14:textId="77777777" w:rsidR="00B918E5" w:rsidRPr="00B918E5" w:rsidRDefault="00B918E5">
      <w:pPr>
        <w:rPr>
          <w:lang w:val="en-US"/>
        </w:rPr>
      </w:pPr>
    </w:p>
    <w:sectPr w:rsidR="00B918E5" w:rsidRPr="00B91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5"/>
    <w:rsid w:val="00033B46"/>
    <w:rsid w:val="00580763"/>
    <w:rsid w:val="00B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31B9"/>
  <w15:chartTrackingRefBased/>
  <w15:docId w15:val="{2492CB2C-E501-489A-9646-3BC1F7B6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Romano</dc:creator>
  <cp:keywords/>
  <dc:description/>
  <cp:lastModifiedBy>Patrizia Romano</cp:lastModifiedBy>
  <cp:revision>3</cp:revision>
  <dcterms:created xsi:type="dcterms:W3CDTF">2021-04-15T15:54:00Z</dcterms:created>
  <dcterms:modified xsi:type="dcterms:W3CDTF">2021-04-15T15:55:00Z</dcterms:modified>
</cp:coreProperties>
</file>